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4" w:rsidRPr="00AB2426" w:rsidRDefault="00847FB4" w:rsidP="00847FB4">
      <w:pPr>
        <w:pBdr>
          <w:bottom w:val="single" w:sz="4" w:space="1" w:color="auto"/>
        </w:pBdr>
        <w:jc w:val="center"/>
        <w:rPr>
          <w:b/>
          <w:u w:val="single"/>
          <w:lang w:val="pt-BR"/>
        </w:rPr>
      </w:pPr>
      <w:r>
        <w:rPr>
          <w:noProof/>
          <w:color w:val="1C1C1C"/>
          <w:sz w:val="20"/>
          <w:szCs w:val="20"/>
          <w:lang w:val="es-CL" w:eastAsia="es-CL"/>
        </w:rPr>
        <w:drawing>
          <wp:inline distT="0" distB="0" distL="0" distR="0" wp14:anchorId="3B6248C1" wp14:editId="448DFA2A">
            <wp:extent cx="1460500" cy="128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B4" w:rsidRDefault="00847FB4" w:rsidP="00847FB4">
      <w:pPr>
        <w:pStyle w:val="Textoindependiente"/>
        <w:ind w:left="2880" w:hanging="288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777"/>
      </w:tblGrid>
      <w:tr w:rsidR="00847FB4" w:rsidRPr="007678C1" w:rsidTr="00157FED">
        <w:tc>
          <w:tcPr>
            <w:tcW w:w="2835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Seminario de Grado</w:t>
            </w:r>
            <w:r w:rsidRPr="00C119D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47FB4" w:rsidRPr="00847FB4" w:rsidRDefault="00157FED" w:rsidP="00847FB4">
            <w:pPr>
              <w:pStyle w:val="CRZ"/>
              <w:rPr>
                <w:sz w:val="20"/>
                <w:szCs w:val="20"/>
              </w:rPr>
            </w:pPr>
            <w:proofErr w:type="spellStart"/>
            <w:r w:rsidRPr="00847FB4">
              <w:rPr>
                <w:sz w:val="20"/>
                <w:szCs w:val="20"/>
              </w:rPr>
              <w:t>Performatividad</w:t>
            </w:r>
            <w:proofErr w:type="spellEnd"/>
            <w:r w:rsidRPr="00847FB4">
              <w:rPr>
                <w:sz w:val="20"/>
                <w:szCs w:val="20"/>
              </w:rPr>
              <w:t xml:space="preserve"> social de la ciencia social en chile</w:t>
            </w:r>
          </w:p>
          <w:p w:rsidR="00847FB4" w:rsidRPr="00847FB4" w:rsidRDefault="00847FB4" w:rsidP="005421B2">
            <w:pPr>
              <w:pStyle w:val="Textoindependiente"/>
              <w:rPr>
                <w:sz w:val="20"/>
              </w:rPr>
            </w:pPr>
          </w:p>
        </w:tc>
      </w:tr>
      <w:tr w:rsidR="00847FB4" w:rsidRPr="007678C1" w:rsidTr="00157FED">
        <w:tc>
          <w:tcPr>
            <w:tcW w:w="2835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b/>
                <w:sz w:val="24"/>
                <w:szCs w:val="24"/>
              </w:rPr>
            </w:pPr>
            <w:r w:rsidRPr="00C119D7">
              <w:rPr>
                <w:b/>
                <w:sz w:val="24"/>
                <w:szCs w:val="24"/>
              </w:rPr>
              <w:t>Profesor:</w:t>
            </w:r>
          </w:p>
        </w:tc>
        <w:tc>
          <w:tcPr>
            <w:tcW w:w="5777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Ramos</w:t>
            </w:r>
          </w:p>
        </w:tc>
      </w:tr>
      <w:tr w:rsidR="00847FB4" w:rsidRPr="007678C1" w:rsidTr="00157FED">
        <w:tc>
          <w:tcPr>
            <w:tcW w:w="2835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b/>
                <w:sz w:val="24"/>
                <w:szCs w:val="24"/>
              </w:rPr>
            </w:pPr>
            <w:r w:rsidRPr="00C119D7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777" w:type="dxa"/>
            <w:shd w:val="clear" w:color="auto" w:fill="auto"/>
          </w:tcPr>
          <w:p w:rsidR="00847FB4" w:rsidRPr="00C119D7" w:rsidRDefault="00EA7DC8" w:rsidP="00847FB4">
            <w:pPr>
              <w:pStyle w:val="Textoindependiente"/>
              <w:rPr>
                <w:sz w:val="24"/>
                <w:szCs w:val="24"/>
              </w:rPr>
            </w:pPr>
            <w:hyperlink r:id="rId9" w:history="1">
              <w:r w:rsidR="00847FB4" w:rsidRPr="001F03A0">
                <w:rPr>
                  <w:rStyle w:val="Hipervnculo"/>
                  <w:sz w:val="24"/>
                  <w:szCs w:val="24"/>
                </w:rPr>
                <w:t>cramos@uc.cl</w:t>
              </w:r>
            </w:hyperlink>
          </w:p>
        </w:tc>
      </w:tr>
      <w:tr w:rsidR="00847FB4" w:rsidRPr="007678C1" w:rsidTr="00157FED">
        <w:tc>
          <w:tcPr>
            <w:tcW w:w="2835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b/>
                <w:sz w:val="24"/>
                <w:szCs w:val="24"/>
              </w:rPr>
            </w:pPr>
            <w:r w:rsidRPr="00C119D7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777" w:type="dxa"/>
            <w:shd w:val="clear" w:color="auto" w:fill="auto"/>
          </w:tcPr>
          <w:p w:rsidR="00847FB4" w:rsidRPr="00C119D7" w:rsidRDefault="00847FB4" w:rsidP="005421B2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definir</w:t>
            </w:r>
          </w:p>
        </w:tc>
      </w:tr>
    </w:tbl>
    <w:p w:rsidR="00847FB4" w:rsidRDefault="00847FB4" w:rsidP="00847FB4">
      <w:pPr>
        <w:jc w:val="both"/>
        <w:rPr>
          <w:b/>
        </w:rPr>
      </w:pPr>
    </w:p>
    <w:p w:rsidR="00C575EE" w:rsidRDefault="00C575EE" w:rsidP="00C57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Descripción del Seminario</w:t>
      </w:r>
    </w:p>
    <w:p w:rsidR="00C575EE" w:rsidRDefault="00C575EE" w:rsidP="00C575EE">
      <w:pPr>
        <w:jc w:val="both"/>
        <w:rPr>
          <w:rFonts w:ascii="Arial" w:hAnsi="Arial" w:cs="Arial"/>
          <w:b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foco del seminario es la conexión entre ciencia social y sociedad, atendiendo a la dimensión </w:t>
      </w:r>
      <w:proofErr w:type="spellStart"/>
      <w:r>
        <w:rPr>
          <w:rFonts w:ascii="Arial" w:hAnsi="Arial" w:cs="Arial"/>
          <w:sz w:val="22"/>
          <w:szCs w:val="22"/>
        </w:rPr>
        <w:t>performativa</w:t>
      </w:r>
      <w:proofErr w:type="spellEnd"/>
      <w:r>
        <w:rPr>
          <w:rFonts w:ascii="Arial" w:hAnsi="Arial" w:cs="Arial"/>
          <w:sz w:val="22"/>
          <w:szCs w:val="22"/>
        </w:rPr>
        <w:t xml:space="preserve"> de la ciencia –a sus capacidades moldeadoras de realidad– y a su imbricación con la </w:t>
      </w:r>
      <w:proofErr w:type="spellStart"/>
      <w:r>
        <w:rPr>
          <w:rFonts w:ascii="Arial" w:hAnsi="Arial" w:cs="Arial"/>
          <w:sz w:val="22"/>
          <w:szCs w:val="22"/>
        </w:rPr>
        <w:t>gubernamentalidad</w:t>
      </w:r>
      <w:proofErr w:type="spellEnd"/>
      <w:r>
        <w:rPr>
          <w:rFonts w:ascii="Arial" w:hAnsi="Arial" w:cs="Arial"/>
          <w:sz w:val="22"/>
          <w:szCs w:val="22"/>
        </w:rPr>
        <w:t xml:space="preserve"> (en el sentido de Foucault), es decir con el gobierno colectivo de las conductas.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seminario requiere que los estudiantes manejen los enfoques de la </w:t>
      </w:r>
      <w:proofErr w:type="spellStart"/>
      <w:r>
        <w:rPr>
          <w:rFonts w:ascii="Arial" w:hAnsi="Arial" w:cs="Arial"/>
          <w:sz w:val="22"/>
          <w:szCs w:val="22"/>
        </w:rPr>
        <w:t>performatividad</w:t>
      </w:r>
      <w:proofErr w:type="spellEnd"/>
      <w:r>
        <w:rPr>
          <w:rFonts w:ascii="Arial" w:hAnsi="Arial" w:cs="Arial"/>
          <w:sz w:val="22"/>
          <w:szCs w:val="22"/>
        </w:rPr>
        <w:t xml:space="preserve"> de la ciencia (</w:t>
      </w:r>
      <w:proofErr w:type="spellStart"/>
      <w:r>
        <w:rPr>
          <w:rFonts w:ascii="Arial" w:hAnsi="Arial" w:cs="Arial"/>
          <w:sz w:val="22"/>
          <w:szCs w:val="22"/>
        </w:rPr>
        <w:t>Callon</w:t>
      </w:r>
      <w:proofErr w:type="spellEnd"/>
      <w:r>
        <w:rPr>
          <w:rFonts w:ascii="Arial" w:hAnsi="Arial" w:cs="Arial"/>
          <w:sz w:val="22"/>
          <w:szCs w:val="22"/>
        </w:rPr>
        <w:t xml:space="preserve">, 1998, 2007; </w:t>
      </w:r>
      <w:proofErr w:type="spellStart"/>
      <w:r>
        <w:rPr>
          <w:rFonts w:ascii="Arial" w:hAnsi="Arial" w:cs="Arial"/>
          <w:sz w:val="22"/>
          <w:szCs w:val="22"/>
        </w:rPr>
        <w:t>MacKenzie</w:t>
      </w:r>
      <w:proofErr w:type="spellEnd"/>
      <w:r>
        <w:rPr>
          <w:rFonts w:ascii="Arial" w:hAnsi="Arial" w:cs="Arial"/>
          <w:sz w:val="22"/>
          <w:szCs w:val="22"/>
        </w:rPr>
        <w:t xml:space="preserve"> et al., 2007) y de la </w:t>
      </w:r>
      <w:proofErr w:type="spellStart"/>
      <w:r>
        <w:rPr>
          <w:rFonts w:ascii="Arial" w:hAnsi="Arial" w:cs="Arial"/>
          <w:sz w:val="22"/>
          <w:szCs w:val="22"/>
        </w:rPr>
        <w:t>gubernamentalidad</w:t>
      </w:r>
      <w:proofErr w:type="spellEnd"/>
      <w:r>
        <w:rPr>
          <w:rFonts w:ascii="Arial" w:hAnsi="Arial" w:cs="Arial"/>
          <w:sz w:val="22"/>
          <w:szCs w:val="22"/>
        </w:rPr>
        <w:t xml:space="preserve"> (Foucault, 2006, 2007), y los empleen para abordar algunas etapas de los procesos constructivos que van desde las mediciones científico sociales hasta su reflejo en la esfera pública o en operaciones institucionales. 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trabajos a realizar por los alumnos se requiere que sean concordantes o complementarios con los objetivos planteados en el Proyecto </w:t>
      </w:r>
      <w:proofErr w:type="spellStart"/>
      <w:r>
        <w:rPr>
          <w:rFonts w:ascii="Arial" w:hAnsi="Arial" w:cs="Arial"/>
          <w:sz w:val="22"/>
          <w:szCs w:val="22"/>
        </w:rPr>
        <w:t>Fondecyt</w:t>
      </w:r>
      <w:proofErr w:type="spellEnd"/>
      <w:r>
        <w:rPr>
          <w:rFonts w:ascii="Arial" w:hAnsi="Arial" w:cs="Arial"/>
          <w:sz w:val="22"/>
          <w:szCs w:val="22"/>
        </w:rPr>
        <w:t xml:space="preserve"> 1121124, “Datos y relatos científico sociales que dan forma a la realidad social de Chile: Estudio de los entrelazamientos constructivos y </w:t>
      </w:r>
      <w:proofErr w:type="spellStart"/>
      <w:r>
        <w:rPr>
          <w:rFonts w:ascii="Arial" w:hAnsi="Arial" w:cs="Arial"/>
          <w:sz w:val="22"/>
          <w:szCs w:val="22"/>
        </w:rPr>
        <w:t>performativos</w:t>
      </w:r>
      <w:proofErr w:type="spellEnd"/>
      <w:r>
        <w:rPr>
          <w:rFonts w:ascii="Arial" w:hAnsi="Arial" w:cs="Arial"/>
          <w:sz w:val="22"/>
          <w:szCs w:val="22"/>
        </w:rPr>
        <w:t xml:space="preserve"> de la ciencia social”. Una presentación general del enfoque teórico que enmarca el trabajo esperado se encuentra en Ramos (2012a, segunda parte).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alumnos deberán seleccionar un foco temático referido a construcciones conceptuales y mediciones institucionales tales como delincuencia, drogadicción, opinión pública, y otros fenómenos sociales, realizadas tanto por el Estado como por entidades privadas (empresas, organizaciones de marketing o consultoría, etc.) u organismos internacionales, y a su reflejo en la prensa o en procesos institucionales, plantearse interrogantes y hacer una indagación sobre ellas, apelando a fuentes secundarias (documentales o estadísticas) y/o primarias, según los requerimientos que se desprendan de la problematización que se haga. El trabajo puede apelar a procedimientos de análisis secundario, etnografía, análisis de discurso u otros. El foco del estudio deberá ser suficientemente acotado a fin de hacer factible la realización del estudio, en el plazo de menos de cinco meses.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Pr="00C575EE" w:rsidRDefault="00C575EE" w:rsidP="00C575E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575EE">
        <w:rPr>
          <w:rFonts w:ascii="Arial" w:hAnsi="Arial" w:cs="Arial"/>
          <w:b/>
          <w:color w:val="FF0000"/>
          <w:sz w:val="22"/>
          <w:szCs w:val="22"/>
        </w:rPr>
        <w:t xml:space="preserve">El seminario aceptará un máximo de cuatro estudiantes. </w:t>
      </w:r>
      <w:proofErr w:type="spellStart"/>
      <w:r w:rsidRPr="00C575EE">
        <w:rPr>
          <w:rFonts w:ascii="Arial" w:hAnsi="Arial" w:cs="Arial"/>
          <w:b/>
          <w:color w:val="FF0000"/>
          <w:sz w:val="22"/>
          <w:szCs w:val="22"/>
        </w:rPr>
        <w:t>Culquier</w:t>
      </w:r>
      <w:proofErr w:type="spellEnd"/>
      <w:r w:rsidRPr="00C575EE">
        <w:rPr>
          <w:rFonts w:ascii="Arial" w:hAnsi="Arial" w:cs="Arial"/>
          <w:b/>
          <w:color w:val="FF0000"/>
          <w:sz w:val="22"/>
          <w:szCs w:val="22"/>
        </w:rPr>
        <w:t xml:space="preserve"> interesado debe comunicarse con el profesor lo antes posible</w:t>
      </w:r>
      <w:bookmarkStart w:id="0" w:name="_GoBack"/>
      <w:bookmarkEnd w:id="0"/>
      <w:r w:rsidRPr="00C575EE">
        <w:rPr>
          <w:rFonts w:ascii="Arial" w:hAnsi="Arial" w:cs="Arial"/>
          <w:b/>
          <w:color w:val="FF0000"/>
          <w:sz w:val="22"/>
          <w:szCs w:val="22"/>
        </w:rPr>
        <w:t xml:space="preserve"> (a más tardar el 20 de julio).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de trabajo en el seminario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trabajo incluye sesiones de discusión bibliográfica y de presentación y revisión de los proyectos individuales.</w:t>
      </w:r>
    </w:p>
    <w:p w:rsidR="00C575EE" w:rsidRDefault="00C575EE" w:rsidP="00C575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Bibliografía recomendada</w:t>
      </w:r>
    </w:p>
    <w:p w:rsidR="00C575EE" w:rsidRDefault="00C575EE" w:rsidP="00C575EE">
      <w:pPr>
        <w:jc w:val="both"/>
        <w:rPr>
          <w:rFonts w:ascii="Arial" w:hAnsi="Arial" w:cs="Arial"/>
          <w:sz w:val="22"/>
          <w:szCs w:val="22"/>
        </w:rPr>
      </w:pPr>
    </w:p>
    <w:p w:rsidR="00C575EE" w:rsidRDefault="00C575EE" w:rsidP="00C57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Ariztía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Tomás, ed. (2012). </w:t>
      </w:r>
      <w:r>
        <w:rPr>
          <w:rFonts w:ascii="Arial" w:hAnsi="Arial" w:cs="Arial"/>
          <w:i/>
          <w:color w:val="000000"/>
          <w:sz w:val="20"/>
          <w:szCs w:val="20"/>
        </w:rPr>
        <w:t>Produciendo lo social: usos de las ciencias sociales en el Chile reciente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Santiago, Chile: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Ediciones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Universidad Diego Portales.</w:t>
      </w: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Callon</w:t>
      </w:r>
      <w:proofErr w:type="spellEnd"/>
      <w:r>
        <w:rPr>
          <w:rFonts w:ascii="Arial" w:hAnsi="Arial" w:cs="Arial"/>
          <w:sz w:val="20"/>
        </w:rPr>
        <w:t xml:space="preserve">, Michel (1998). </w:t>
      </w:r>
      <w:proofErr w:type="gramStart"/>
      <w:r>
        <w:rPr>
          <w:rFonts w:ascii="Arial" w:hAnsi="Arial" w:cs="Arial"/>
          <w:i/>
          <w:sz w:val="20"/>
        </w:rPr>
        <w:t>The Law of the Markets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Oxford: Blackwell Publishers.</w:t>
      </w:r>
    </w:p>
    <w:p w:rsidR="00C575EE" w:rsidRDefault="00C575EE" w:rsidP="00C57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Callon</w:t>
      </w:r>
      <w:proofErr w:type="spellEnd"/>
      <w:r>
        <w:rPr>
          <w:rFonts w:ascii="Arial" w:hAnsi="Arial" w:cs="Arial"/>
          <w:sz w:val="20"/>
        </w:rPr>
        <w:t xml:space="preserve">, Michel (2007a). “What Does It Mean to Say That Economics Is </w:t>
      </w:r>
      <w:proofErr w:type="spellStart"/>
      <w:r>
        <w:rPr>
          <w:rFonts w:ascii="Arial" w:hAnsi="Arial" w:cs="Arial"/>
          <w:sz w:val="20"/>
        </w:rPr>
        <w:t>Performative</w:t>
      </w:r>
      <w:proofErr w:type="spellEnd"/>
      <w:r>
        <w:rPr>
          <w:rFonts w:ascii="Arial" w:hAnsi="Arial" w:cs="Arial"/>
          <w:sz w:val="20"/>
        </w:rPr>
        <w:t>?</w:t>
      </w:r>
      <w:proofErr w:type="gramStart"/>
      <w:r>
        <w:rPr>
          <w:rFonts w:ascii="Arial" w:hAnsi="Arial" w:cs="Arial"/>
          <w:sz w:val="20"/>
        </w:rPr>
        <w:t>”.</w:t>
      </w:r>
      <w:proofErr w:type="gramEnd"/>
      <w:r>
        <w:rPr>
          <w:rFonts w:ascii="Arial" w:hAnsi="Arial" w:cs="Arial"/>
          <w:sz w:val="20"/>
        </w:rPr>
        <w:t xml:space="preserve"> En Donald </w:t>
      </w:r>
      <w:proofErr w:type="spellStart"/>
      <w:r>
        <w:rPr>
          <w:rFonts w:ascii="Arial" w:hAnsi="Arial" w:cs="Arial"/>
          <w:sz w:val="20"/>
        </w:rPr>
        <w:t>MacKenzie</w:t>
      </w:r>
      <w:proofErr w:type="spellEnd"/>
      <w:r>
        <w:rPr>
          <w:rFonts w:ascii="Arial" w:hAnsi="Arial" w:cs="Arial"/>
          <w:sz w:val="20"/>
        </w:rPr>
        <w:t xml:space="preserve">; Fabian </w:t>
      </w:r>
      <w:proofErr w:type="spellStart"/>
      <w:r>
        <w:rPr>
          <w:rFonts w:ascii="Arial" w:hAnsi="Arial" w:cs="Arial"/>
          <w:sz w:val="20"/>
        </w:rPr>
        <w:t>Muniesa</w:t>
      </w:r>
      <w:proofErr w:type="spellEnd"/>
      <w:r>
        <w:rPr>
          <w:rFonts w:ascii="Arial" w:hAnsi="Arial" w:cs="Arial"/>
          <w:sz w:val="20"/>
        </w:rPr>
        <w:t xml:space="preserve"> y Lucia </w:t>
      </w:r>
      <w:proofErr w:type="spellStart"/>
      <w:r>
        <w:rPr>
          <w:rFonts w:ascii="Arial" w:hAnsi="Arial" w:cs="Arial"/>
          <w:sz w:val="20"/>
        </w:rPr>
        <w:t>Siu</w:t>
      </w:r>
      <w:proofErr w:type="spellEnd"/>
      <w:r>
        <w:rPr>
          <w:rFonts w:ascii="Arial" w:hAnsi="Arial" w:cs="Arial"/>
          <w:sz w:val="20"/>
        </w:rPr>
        <w:t xml:space="preserve"> (eds.), </w:t>
      </w:r>
      <w:r>
        <w:rPr>
          <w:rFonts w:ascii="Arial" w:hAnsi="Arial" w:cs="Arial"/>
          <w:i/>
          <w:sz w:val="20"/>
        </w:rPr>
        <w:t xml:space="preserve">Do Economists Make Markets? </w:t>
      </w:r>
      <w:proofErr w:type="gramStart"/>
      <w:r>
        <w:rPr>
          <w:rFonts w:ascii="Arial" w:hAnsi="Arial" w:cs="Arial"/>
          <w:i/>
          <w:sz w:val="20"/>
        </w:rPr>
        <w:t>On the Performativity of Economics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Princeton: Princeton University Press. 311- 357.</w:t>
      </w:r>
    </w:p>
    <w:p w:rsidR="00C575EE" w:rsidRDefault="00C575EE" w:rsidP="00C57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Callon</w:t>
      </w:r>
      <w:proofErr w:type="spellEnd"/>
      <w:r>
        <w:rPr>
          <w:rFonts w:ascii="Arial" w:hAnsi="Arial" w:cs="Arial"/>
          <w:sz w:val="20"/>
        </w:rPr>
        <w:t xml:space="preserve">, Michel (2007b). </w:t>
      </w:r>
      <w:proofErr w:type="gramStart"/>
      <w:r>
        <w:rPr>
          <w:rFonts w:ascii="Arial" w:hAnsi="Arial" w:cs="Arial"/>
          <w:sz w:val="20"/>
        </w:rPr>
        <w:t>“An Essay on the Growing Contribution of Economic Markets to the Proliferation of the Social”.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Theory, Culture &amp; Society</w:t>
      </w:r>
      <w:r>
        <w:rPr>
          <w:rFonts w:ascii="Arial" w:hAnsi="Arial" w:cs="Arial"/>
          <w:sz w:val="20"/>
        </w:rPr>
        <w:t>, 24(7-8): 139-163.</w:t>
      </w: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Callon</w:t>
      </w:r>
      <w:proofErr w:type="spellEnd"/>
      <w:r>
        <w:rPr>
          <w:rFonts w:ascii="Arial" w:hAnsi="Arial" w:cs="Arial"/>
          <w:sz w:val="20"/>
        </w:rPr>
        <w:t xml:space="preserve">, Michel (2010). </w:t>
      </w:r>
      <w:proofErr w:type="gramStart"/>
      <w:r>
        <w:rPr>
          <w:rFonts w:ascii="Arial" w:hAnsi="Arial" w:cs="Arial"/>
          <w:sz w:val="20"/>
        </w:rPr>
        <w:t>“Performativity, Misfires and Politics”.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Journal of Cultural Economy</w:t>
      </w:r>
      <w:r>
        <w:rPr>
          <w:rFonts w:ascii="Arial" w:hAnsi="Arial" w:cs="Arial"/>
          <w:sz w:val="20"/>
        </w:rPr>
        <w:t>, 3(2): 163-169.</w:t>
      </w: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          </w:t>
      </w: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Dean, Mitchell (2010). </w:t>
      </w:r>
      <w:proofErr w:type="spellStart"/>
      <w:proofErr w:type="gramStart"/>
      <w:r>
        <w:rPr>
          <w:rFonts w:ascii="Arial" w:hAnsi="Arial" w:cs="Arial"/>
          <w:i/>
          <w:sz w:val="20"/>
        </w:rPr>
        <w:t>Governmentality</w:t>
      </w:r>
      <w:proofErr w:type="spellEnd"/>
      <w:r>
        <w:rPr>
          <w:rFonts w:ascii="Arial" w:hAnsi="Arial" w:cs="Arial"/>
          <w:i/>
          <w:sz w:val="20"/>
        </w:rPr>
        <w:t>.</w:t>
      </w:r>
      <w:proofErr w:type="gramEnd"/>
      <w:r>
        <w:rPr>
          <w:rFonts w:ascii="Arial" w:hAnsi="Arial" w:cs="Arial"/>
          <w:i/>
          <w:sz w:val="20"/>
        </w:rPr>
        <w:t xml:space="preserve"> Power and Rule in Modern Society</w:t>
      </w:r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Second Edition.</w:t>
      </w:r>
      <w:proofErr w:type="gramEnd"/>
      <w:r>
        <w:rPr>
          <w:rFonts w:ascii="Arial" w:hAnsi="Arial" w:cs="Arial"/>
          <w:sz w:val="20"/>
        </w:rPr>
        <w:t xml:space="preserve"> London: SAGE Publications.  [1999]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Desrosières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Alain (1998).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The Politics of Large Numbers.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A History of Statistical Reasoning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Cambridge, </w:t>
      </w:r>
      <w:proofErr w:type="spellStart"/>
      <w:r>
        <w:rPr>
          <w:rFonts w:ascii="Arial" w:hAnsi="Arial" w:cs="Arial"/>
          <w:sz w:val="20"/>
          <w:szCs w:val="20"/>
        </w:rPr>
        <w:t>Mass</w:t>
      </w:r>
      <w:proofErr w:type="spellEnd"/>
      <w:r>
        <w:rPr>
          <w:rFonts w:ascii="Arial" w:hAnsi="Arial" w:cs="Arial"/>
          <w:sz w:val="20"/>
          <w:szCs w:val="20"/>
        </w:rPr>
        <w:t xml:space="preserve">.: Harvard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Desrosières</w:t>
      </w:r>
      <w:proofErr w:type="spellEnd"/>
      <w:r>
        <w:rPr>
          <w:rFonts w:ascii="Arial" w:hAnsi="Arial" w:cs="Arial"/>
          <w:sz w:val="20"/>
          <w:szCs w:val="20"/>
        </w:rPr>
        <w:t xml:space="preserve">, Alain (2008). </w:t>
      </w:r>
      <w:proofErr w:type="spellStart"/>
      <w:r>
        <w:rPr>
          <w:rFonts w:ascii="Arial" w:hAnsi="Arial" w:cs="Arial"/>
          <w:i/>
          <w:sz w:val="20"/>
          <w:szCs w:val="20"/>
        </w:rPr>
        <w:t>Gouverner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 les nombres</w:t>
      </w:r>
      <w:r>
        <w:rPr>
          <w:rFonts w:ascii="Arial" w:hAnsi="Arial" w:cs="Arial"/>
          <w:sz w:val="20"/>
          <w:szCs w:val="20"/>
        </w:rPr>
        <w:t xml:space="preserve">. Paris: </w:t>
      </w:r>
      <w:proofErr w:type="spellStart"/>
      <w:r>
        <w:rPr>
          <w:rFonts w:ascii="Arial" w:hAnsi="Arial" w:cs="Arial"/>
          <w:sz w:val="20"/>
          <w:szCs w:val="20"/>
        </w:rPr>
        <w:t>Presses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l’Ecole</w:t>
      </w:r>
      <w:proofErr w:type="spellEnd"/>
      <w:r>
        <w:rPr>
          <w:rFonts w:ascii="Arial" w:hAnsi="Arial" w:cs="Arial"/>
          <w:sz w:val="20"/>
          <w:szCs w:val="20"/>
        </w:rPr>
        <w:t xml:space="preserve"> des Mines.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Foucault, Michel (2006). </w:t>
      </w:r>
      <w:r>
        <w:rPr>
          <w:rFonts w:ascii="Arial" w:hAnsi="Arial" w:cs="Arial"/>
          <w:i/>
          <w:sz w:val="20"/>
          <w:lang w:val="es-CL"/>
        </w:rPr>
        <w:t xml:space="preserve">Seguridad, territorio, población. Curso en el </w:t>
      </w:r>
      <w:proofErr w:type="spellStart"/>
      <w:r>
        <w:rPr>
          <w:rFonts w:ascii="Arial" w:hAnsi="Arial" w:cs="Arial"/>
          <w:i/>
          <w:sz w:val="20"/>
          <w:lang w:val="es-CL"/>
        </w:rPr>
        <w:t>College</w:t>
      </w:r>
      <w:proofErr w:type="spellEnd"/>
      <w:r>
        <w:rPr>
          <w:rFonts w:ascii="Arial" w:hAnsi="Arial" w:cs="Arial"/>
          <w:i/>
          <w:sz w:val="20"/>
          <w:lang w:val="es-CL"/>
        </w:rPr>
        <w:t xml:space="preserve"> de France (1977-1978)</w:t>
      </w:r>
      <w:r>
        <w:rPr>
          <w:rFonts w:ascii="Arial" w:hAnsi="Arial" w:cs="Arial"/>
          <w:sz w:val="20"/>
          <w:lang w:val="es-CL"/>
        </w:rPr>
        <w:t xml:space="preserve">. México: Fondo de Cultura Económica.  </w:t>
      </w: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Foucault, Michel (2007). </w:t>
      </w:r>
      <w:r>
        <w:rPr>
          <w:rFonts w:ascii="Arial" w:hAnsi="Arial" w:cs="Arial"/>
          <w:i/>
          <w:sz w:val="20"/>
          <w:lang w:val="es-CL"/>
        </w:rPr>
        <w:t xml:space="preserve">Nacimiento de la </w:t>
      </w:r>
      <w:proofErr w:type="spellStart"/>
      <w:r>
        <w:rPr>
          <w:rFonts w:ascii="Arial" w:hAnsi="Arial" w:cs="Arial"/>
          <w:i/>
          <w:sz w:val="20"/>
          <w:lang w:val="es-CL"/>
        </w:rPr>
        <w:t>biopolitica</w:t>
      </w:r>
      <w:proofErr w:type="spellEnd"/>
      <w:r>
        <w:rPr>
          <w:rFonts w:ascii="Arial" w:hAnsi="Arial" w:cs="Arial"/>
          <w:i/>
          <w:sz w:val="20"/>
          <w:lang w:val="es-CL"/>
        </w:rPr>
        <w:t xml:space="preserve">. Curso en el </w:t>
      </w:r>
      <w:proofErr w:type="spellStart"/>
      <w:r>
        <w:rPr>
          <w:rFonts w:ascii="Arial" w:hAnsi="Arial" w:cs="Arial"/>
          <w:i/>
          <w:sz w:val="20"/>
          <w:lang w:val="es-CL"/>
        </w:rPr>
        <w:t>College</w:t>
      </w:r>
      <w:proofErr w:type="spellEnd"/>
      <w:r>
        <w:rPr>
          <w:rFonts w:ascii="Arial" w:hAnsi="Arial" w:cs="Arial"/>
          <w:i/>
          <w:sz w:val="20"/>
          <w:lang w:val="es-CL"/>
        </w:rPr>
        <w:t xml:space="preserve"> de France (1978-1979)</w:t>
      </w:r>
      <w:r>
        <w:rPr>
          <w:rFonts w:ascii="Arial" w:hAnsi="Arial" w:cs="Arial"/>
          <w:sz w:val="20"/>
          <w:lang w:val="es-CL"/>
        </w:rPr>
        <w:t xml:space="preserve">. México: Fondo de Cultura Económica.  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Fourcade</w:t>
      </w:r>
      <w:proofErr w:type="spellEnd"/>
      <w:r>
        <w:rPr>
          <w:rFonts w:ascii="Arial" w:hAnsi="Arial" w:cs="Arial"/>
          <w:sz w:val="20"/>
          <w:szCs w:val="20"/>
        </w:rPr>
        <w:t xml:space="preserve">, Marion (2009). </w:t>
      </w:r>
      <w:proofErr w:type="spellStart"/>
      <w:r>
        <w:rPr>
          <w:rFonts w:ascii="Arial" w:hAnsi="Arial" w:cs="Arial"/>
          <w:i/>
          <w:sz w:val="20"/>
          <w:szCs w:val="20"/>
        </w:rPr>
        <w:t>Economists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Societies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>Discipline and Profession in the United States, Britain, and France, 1890s to 1990s</w:t>
      </w:r>
      <w:r>
        <w:rPr>
          <w:rFonts w:ascii="Arial" w:hAnsi="Arial" w:cs="Arial"/>
          <w:sz w:val="20"/>
          <w:szCs w:val="20"/>
          <w:lang w:val="en-US"/>
        </w:rPr>
        <w:t>. Princeton: Princeton University Press.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arial"/>
        <w:jc w:val="both"/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Hacking, Ian (1999).</w:t>
      </w:r>
      <w:proofErr w:type="gramEnd"/>
      <w:r>
        <w:rPr>
          <w:rFonts w:cs="Arial"/>
          <w:sz w:val="20"/>
          <w:lang w:val="en-US"/>
        </w:rPr>
        <w:t xml:space="preserve"> </w:t>
      </w:r>
      <w:r>
        <w:rPr>
          <w:rFonts w:cs="Arial"/>
          <w:i/>
          <w:sz w:val="20"/>
          <w:lang w:val="en-US"/>
        </w:rPr>
        <w:t>The Social Construction of What</w:t>
      </w:r>
      <w:proofErr w:type="gramStart"/>
      <w:r>
        <w:rPr>
          <w:rFonts w:cs="Arial"/>
          <w:i/>
          <w:sz w:val="20"/>
          <w:lang w:val="en-US"/>
        </w:rPr>
        <w:t>?</w:t>
      </w:r>
      <w:r>
        <w:rPr>
          <w:rFonts w:cs="Arial"/>
          <w:sz w:val="20"/>
          <w:lang w:val="en-US"/>
        </w:rPr>
        <w:t>.</w:t>
      </w:r>
      <w:proofErr w:type="gramEnd"/>
      <w:r>
        <w:rPr>
          <w:rFonts w:cs="Arial"/>
          <w:sz w:val="20"/>
          <w:lang w:val="en-US"/>
        </w:rPr>
        <w:t xml:space="preserve"> Cambridge, Mass.: Harvard University Press.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ES"/>
        </w:rPr>
        <w:t xml:space="preserve">Hacking, </w:t>
      </w:r>
      <w:proofErr w:type="spellStart"/>
      <w:r>
        <w:rPr>
          <w:rFonts w:ascii="Arial" w:hAnsi="Arial" w:cs="Arial"/>
          <w:sz w:val="20"/>
          <w:lang w:val="es-ES"/>
        </w:rPr>
        <w:t>Ian</w:t>
      </w:r>
      <w:proofErr w:type="spellEnd"/>
      <w:r>
        <w:rPr>
          <w:rFonts w:ascii="Arial" w:hAnsi="Arial" w:cs="Arial"/>
          <w:sz w:val="20"/>
          <w:lang w:val="es-ES"/>
        </w:rPr>
        <w:t xml:space="preserve"> (2006). </w:t>
      </w:r>
      <w:r>
        <w:rPr>
          <w:rFonts w:ascii="Arial" w:hAnsi="Arial" w:cs="Arial"/>
          <w:i/>
          <w:sz w:val="20"/>
          <w:lang w:val="es-CL"/>
        </w:rPr>
        <w:t>La domesticación del azar</w:t>
      </w:r>
      <w:r>
        <w:rPr>
          <w:rFonts w:ascii="Arial" w:hAnsi="Arial" w:cs="Arial"/>
          <w:sz w:val="20"/>
          <w:lang w:val="es-CL"/>
        </w:rPr>
        <w:t xml:space="preserve">. Barcelona: </w:t>
      </w:r>
      <w:proofErr w:type="spellStart"/>
      <w:r>
        <w:rPr>
          <w:rFonts w:ascii="Arial" w:hAnsi="Arial" w:cs="Arial"/>
          <w:sz w:val="20"/>
          <w:lang w:val="es-CL"/>
        </w:rPr>
        <w:t>Gedisa</w:t>
      </w:r>
      <w:proofErr w:type="spellEnd"/>
      <w:r>
        <w:rPr>
          <w:rFonts w:ascii="Arial" w:hAnsi="Arial" w:cs="Arial"/>
          <w:sz w:val="20"/>
          <w:lang w:val="es-CL"/>
        </w:rPr>
        <w:t xml:space="preserve"> Editorial.</w:t>
      </w:r>
    </w:p>
    <w:p w:rsidR="00C575EE" w:rsidRDefault="00C575EE" w:rsidP="00C575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</w:rPr>
        <w:t>Latour</w:t>
      </w:r>
      <w:proofErr w:type="spellEnd"/>
      <w:r>
        <w:rPr>
          <w:rFonts w:cs="Arial"/>
          <w:sz w:val="20"/>
          <w:szCs w:val="20"/>
        </w:rPr>
        <w:t xml:space="preserve">, Bruno (1988). </w:t>
      </w:r>
      <w:proofErr w:type="gramStart"/>
      <w:r>
        <w:rPr>
          <w:rFonts w:cs="Arial"/>
          <w:i/>
          <w:sz w:val="20"/>
          <w:szCs w:val="20"/>
          <w:lang w:val="en-US"/>
        </w:rPr>
        <w:t>The Pasteurization of France</w:t>
      </w:r>
      <w:r>
        <w:rPr>
          <w:rFonts w:cs="Arial"/>
          <w:sz w:val="20"/>
          <w:szCs w:val="20"/>
          <w:lang w:val="en-US"/>
        </w:rPr>
        <w:t>.</w:t>
      </w:r>
      <w:proofErr w:type="gramEnd"/>
      <w:r>
        <w:rPr>
          <w:rFonts w:cs="Arial"/>
          <w:sz w:val="20"/>
          <w:szCs w:val="20"/>
          <w:lang w:val="en-US"/>
        </w:rPr>
        <w:t xml:space="preserve"> Cambridge, Mass.: Harvard University Press. </w:t>
      </w: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</w:rPr>
        <w:t>Latour</w:t>
      </w:r>
      <w:proofErr w:type="spellEnd"/>
      <w:r>
        <w:rPr>
          <w:rFonts w:cs="Arial"/>
          <w:sz w:val="20"/>
          <w:szCs w:val="20"/>
        </w:rPr>
        <w:t xml:space="preserve">, Bruno (2001). </w:t>
      </w:r>
      <w:r>
        <w:rPr>
          <w:rFonts w:cs="Arial"/>
          <w:i/>
          <w:sz w:val="20"/>
          <w:szCs w:val="20"/>
        </w:rPr>
        <w:t>La esperanza de Pandora. Ensayos sobre la realidad de los estudios de la ciencia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val="en-US"/>
        </w:rPr>
        <w:t xml:space="preserve">Barcelona: </w:t>
      </w:r>
      <w:proofErr w:type="spellStart"/>
      <w:r>
        <w:rPr>
          <w:rFonts w:cs="Arial"/>
          <w:sz w:val="20"/>
          <w:szCs w:val="20"/>
          <w:lang w:val="en-US"/>
        </w:rPr>
        <w:t>Gedisa</w:t>
      </w:r>
      <w:proofErr w:type="spellEnd"/>
      <w:r>
        <w:rPr>
          <w:rFonts w:cs="Arial"/>
          <w:sz w:val="20"/>
          <w:szCs w:val="20"/>
          <w:lang w:val="en-US"/>
        </w:rPr>
        <w:t xml:space="preserve"> Editorial.</w:t>
      </w: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Latour</w:t>
      </w:r>
      <w:proofErr w:type="spellEnd"/>
      <w:r>
        <w:rPr>
          <w:rFonts w:cs="Arial"/>
          <w:sz w:val="20"/>
          <w:szCs w:val="20"/>
          <w:lang w:val="en-US"/>
        </w:rPr>
        <w:t xml:space="preserve">, Bruno (2005).  </w:t>
      </w:r>
      <w:proofErr w:type="gramStart"/>
      <w:r>
        <w:rPr>
          <w:rFonts w:cs="Arial"/>
          <w:i/>
          <w:sz w:val="20"/>
          <w:szCs w:val="20"/>
          <w:lang w:val="en-US"/>
        </w:rPr>
        <w:t>Reassembling the Social</w:t>
      </w:r>
      <w:r>
        <w:rPr>
          <w:rFonts w:cs="Arial"/>
          <w:sz w:val="20"/>
          <w:szCs w:val="20"/>
          <w:lang w:val="en-US"/>
        </w:rPr>
        <w:t>.</w:t>
      </w:r>
      <w:proofErr w:type="gramEnd"/>
      <w:r>
        <w:rPr>
          <w:rFonts w:cs="Arial"/>
          <w:sz w:val="20"/>
          <w:szCs w:val="20"/>
          <w:lang w:val="en-US"/>
        </w:rPr>
        <w:t xml:space="preserve"> Oxford: Oxford University Press.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Latour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, Bruno (2010a). </w:t>
      </w:r>
      <w:proofErr w:type="gramStart"/>
      <w:r>
        <w:rPr>
          <w:rFonts w:ascii="Arial" w:eastAsia="Calibri" w:hAnsi="Arial" w:cs="Arial"/>
          <w:i/>
          <w:sz w:val="20"/>
          <w:szCs w:val="20"/>
          <w:lang w:val="en-US"/>
        </w:rPr>
        <w:t>The Making of Law.</w:t>
      </w:r>
      <w:proofErr w:type="gramEnd"/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proofErr w:type="gramStart"/>
      <w:r>
        <w:rPr>
          <w:rFonts w:ascii="Arial" w:eastAsia="Calibri" w:hAnsi="Arial" w:cs="Arial"/>
          <w:i/>
          <w:sz w:val="20"/>
          <w:szCs w:val="20"/>
          <w:lang w:val="en-US"/>
        </w:rPr>
        <w:t>An Ethnography</w:t>
      </w:r>
      <w:proofErr w:type="gramEnd"/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of the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US"/>
        </w:rPr>
        <w:t>Conseil</w:t>
      </w:r>
      <w:proofErr w:type="spellEnd"/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US"/>
        </w:rPr>
        <w:t>d’Etat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>. Cambridge, UK: Polity Press.</w:t>
      </w:r>
    </w:p>
    <w:p w:rsidR="00C575EE" w:rsidRDefault="00C575EE" w:rsidP="00C575EE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C575EE" w:rsidRDefault="00C575EE" w:rsidP="00C575EE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Latour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, Bruno (2010b). </w:t>
      </w:r>
      <w:proofErr w:type="gramStart"/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On the Modern Cult of the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US"/>
        </w:rPr>
        <w:t>Factish</w:t>
      </w:r>
      <w:proofErr w:type="spellEnd"/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 Gods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eastAsia="Calibri" w:hAnsi="Arial" w:cs="Arial"/>
          <w:sz w:val="20"/>
          <w:szCs w:val="20"/>
          <w:lang w:val="en-US"/>
        </w:rPr>
        <w:t xml:space="preserve"> Durham: Duke University Press.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  <w:proofErr w:type="spellStart"/>
      <w:proofErr w:type="gramStart"/>
      <w:r>
        <w:rPr>
          <w:rFonts w:cs="Arial"/>
          <w:sz w:val="20"/>
          <w:szCs w:val="20"/>
          <w:lang w:val="en-US"/>
        </w:rPr>
        <w:t>Latour</w:t>
      </w:r>
      <w:proofErr w:type="spellEnd"/>
      <w:r>
        <w:rPr>
          <w:rFonts w:cs="Arial"/>
          <w:sz w:val="20"/>
          <w:szCs w:val="20"/>
          <w:lang w:val="en-US"/>
        </w:rPr>
        <w:t xml:space="preserve">, Bruno y Steve </w:t>
      </w:r>
      <w:proofErr w:type="spellStart"/>
      <w:r>
        <w:rPr>
          <w:rFonts w:cs="Arial"/>
          <w:sz w:val="20"/>
          <w:szCs w:val="20"/>
          <w:lang w:val="en-US"/>
        </w:rPr>
        <w:t>Woolgar</w:t>
      </w:r>
      <w:proofErr w:type="spellEnd"/>
      <w:r>
        <w:rPr>
          <w:rFonts w:cs="Arial"/>
          <w:sz w:val="20"/>
          <w:szCs w:val="20"/>
          <w:lang w:val="en-US"/>
        </w:rPr>
        <w:t xml:space="preserve"> (1986).</w:t>
      </w:r>
      <w:proofErr w:type="gramEnd"/>
      <w:r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 xml:space="preserve">Laboratory Life: The Construction of Scientific Facts. </w:t>
      </w:r>
      <w:r>
        <w:rPr>
          <w:rFonts w:cs="Arial"/>
          <w:sz w:val="20"/>
          <w:szCs w:val="20"/>
          <w:lang w:val="en-US"/>
        </w:rPr>
        <w:t>2</w:t>
      </w:r>
      <w:r>
        <w:rPr>
          <w:rFonts w:cs="Arial"/>
          <w:sz w:val="20"/>
          <w:szCs w:val="20"/>
          <w:vertAlign w:val="superscript"/>
          <w:lang w:val="en-US"/>
        </w:rPr>
        <w:t>nd</w:t>
      </w:r>
      <w:r>
        <w:rPr>
          <w:rFonts w:cs="Arial"/>
          <w:sz w:val="20"/>
          <w:szCs w:val="20"/>
          <w:lang w:val="en-US"/>
        </w:rPr>
        <w:t xml:space="preserve">. ed. Princeton: Princeton University Press. </w:t>
      </w:r>
    </w:p>
    <w:p w:rsidR="00C575EE" w:rsidRDefault="00C575EE" w:rsidP="00C575EE">
      <w:pPr>
        <w:pStyle w:val="CRZ"/>
        <w:rPr>
          <w:rFonts w:cs="Arial"/>
          <w:sz w:val="20"/>
          <w:szCs w:val="20"/>
          <w:lang w:val="en-GB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Law, John &amp; John </w:t>
      </w:r>
      <w:proofErr w:type="spellStart"/>
      <w:r>
        <w:rPr>
          <w:rFonts w:ascii="Arial" w:hAnsi="Arial" w:cs="Arial"/>
          <w:sz w:val="20"/>
        </w:rPr>
        <w:t>Urry</w:t>
      </w:r>
      <w:proofErr w:type="spellEnd"/>
      <w:r>
        <w:rPr>
          <w:rFonts w:ascii="Arial" w:hAnsi="Arial" w:cs="Arial"/>
          <w:sz w:val="20"/>
        </w:rPr>
        <w:t xml:space="preserve"> (2004).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“Enacting the Social”.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Economy and Society</w:t>
      </w:r>
      <w:r>
        <w:rPr>
          <w:rFonts w:ascii="Arial" w:hAnsi="Arial" w:cs="Arial"/>
          <w:sz w:val="20"/>
        </w:rPr>
        <w:t>, 33(3): 390-410.</w:t>
      </w:r>
    </w:p>
    <w:p w:rsidR="00C575EE" w:rsidRDefault="00C575EE" w:rsidP="00C575EE">
      <w:pPr>
        <w:pStyle w:val="CRZ"/>
        <w:rPr>
          <w:rFonts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MacKenzie</w:t>
      </w:r>
      <w:proofErr w:type="spellEnd"/>
      <w:r>
        <w:rPr>
          <w:rFonts w:ascii="Arial" w:hAnsi="Arial" w:cs="Arial"/>
          <w:sz w:val="20"/>
          <w:lang w:val="es-ES"/>
        </w:rPr>
        <w:t xml:space="preserve">, Donald; </w:t>
      </w:r>
      <w:proofErr w:type="spellStart"/>
      <w:r>
        <w:rPr>
          <w:rFonts w:ascii="Arial" w:hAnsi="Arial" w:cs="Arial"/>
          <w:sz w:val="20"/>
          <w:lang w:val="es-ES"/>
        </w:rPr>
        <w:t>Fabian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Muniesa</w:t>
      </w:r>
      <w:proofErr w:type="spellEnd"/>
      <w:r>
        <w:rPr>
          <w:rFonts w:ascii="Arial" w:hAnsi="Arial" w:cs="Arial"/>
          <w:sz w:val="20"/>
          <w:lang w:val="es-ES"/>
        </w:rPr>
        <w:t xml:space="preserve"> y Lucia </w:t>
      </w:r>
      <w:proofErr w:type="spellStart"/>
      <w:r>
        <w:rPr>
          <w:rFonts w:ascii="Arial" w:hAnsi="Arial" w:cs="Arial"/>
          <w:sz w:val="20"/>
          <w:lang w:val="es-ES"/>
        </w:rPr>
        <w:t>Siu</w:t>
      </w:r>
      <w:proofErr w:type="spellEnd"/>
      <w:r>
        <w:rPr>
          <w:rFonts w:ascii="Arial" w:hAnsi="Arial" w:cs="Arial"/>
          <w:sz w:val="20"/>
          <w:lang w:val="es-ES"/>
        </w:rPr>
        <w:t xml:space="preserve">, eds. </w:t>
      </w:r>
      <w:r>
        <w:rPr>
          <w:rFonts w:ascii="Arial" w:hAnsi="Arial" w:cs="Arial"/>
          <w:sz w:val="20"/>
        </w:rPr>
        <w:t xml:space="preserve">(2007). </w:t>
      </w:r>
      <w:r>
        <w:rPr>
          <w:rFonts w:ascii="Arial" w:hAnsi="Arial" w:cs="Arial"/>
          <w:i/>
          <w:sz w:val="20"/>
        </w:rPr>
        <w:t xml:space="preserve">Do Economists Make Markets? </w:t>
      </w:r>
      <w:proofErr w:type="gramStart"/>
      <w:r>
        <w:rPr>
          <w:rFonts w:ascii="Arial" w:hAnsi="Arial" w:cs="Arial"/>
          <w:i/>
          <w:sz w:val="20"/>
        </w:rPr>
        <w:t>On the Performativity of Economics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Princeton: Princeton University Press.  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Miller, Peter &amp; Nikolas Rose (2008).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Governing the Present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Cambridge, UK: Polity.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Osborne, Thomas &amp; Nikolas Rose (1999).</w:t>
      </w:r>
      <w:proofErr w:type="gramEnd"/>
      <w:r>
        <w:rPr>
          <w:rFonts w:ascii="Arial" w:hAnsi="Arial" w:cs="Arial"/>
          <w:sz w:val="20"/>
        </w:rPr>
        <w:t xml:space="preserve"> “Do the Social Sciences Create Phenomena</w:t>
      </w:r>
      <w:proofErr w:type="gramStart"/>
      <w:r>
        <w:rPr>
          <w:rFonts w:ascii="Arial" w:hAnsi="Arial" w:cs="Arial"/>
          <w:sz w:val="20"/>
        </w:rPr>
        <w:t>?:</w:t>
      </w:r>
      <w:proofErr w:type="gramEnd"/>
      <w:r>
        <w:rPr>
          <w:rFonts w:ascii="Arial" w:hAnsi="Arial" w:cs="Arial"/>
          <w:sz w:val="20"/>
        </w:rPr>
        <w:t xml:space="preserve"> the Example of Public Opinion Research”. </w:t>
      </w:r>
      <w:r>
        <w:rPr>
          <w:rFonts w:ascii="Arial" w:hAnsi="Arial" w:cs="Arial"/>
          <w:i/>
          <w:sz w:val="20"/>
        </w:rPr>
        <w:t>British Journal of Sociology</w:t>
      </w:r>
      <w:r>
        <w:rPr>
          <w:rFonts w:ascii="Arial" w:hAnsi="Arial" w:cs="Arial"/>
          <w:sz w:val="20"/>
        </w:rPr>
        <w:t>, 50(3): 367-396.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Ossandón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José (2008). 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The Enactment of Private Health Insurance in Chile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Thesis for the degree of PhD. Centre for Cultural Studies, Goldsmiths, University of London.</w:t>
      </w:r>
      <w:proofErr w:type="gramEnd"/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Ramos, Claudio (2012a). </w:t>
      </w:r>
      <w:r>
        <w:rPr>
          <w:rFonts w:ascii="Arial" w:hAnsi="Arial" w:cs="Arial"/>
          <w:i/>
          <w:sz w:val="20"/>
          <w:lang w:val="es-ES"/>
        </w:rPr>
        <w:t>El ensamblaje de ciencia social y sociedad. Conocimiento científico, gobierno de las conductas y producción de lo social</w:t>
      </w:r>
      <w:r>
        <w:rPr>
          <w:rFonts w:ascii="Arial" w:hAnsi="Arial" w:cs="Arial"/>
          <w:sz w:val="20"/>
          <w:lang w:val="es-ES"/>
        </w:rPr>
        <w:t>. Santiago, Chile: Ediciones Alberto Hurtado.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C575EE" w:rsidRDefault="00C575EE" w:rsidP="00C575EE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Ramos, Claudio (2012b). “Investigación científica y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performatividad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social. El caso del PNUD en Chile”. En </w:t>
      </w:r>
      <w:r>
        <w:rPr>
          <w:rFonts w:ascii="Arial" w:hAnsi="Arial" w:cs="Arial"/>
          <w:color w:val="000000"/>
          <w:sz w:val="20"/>
          <w:szCs w:val="20"/>
        </w:rPr>
        <w:t xml:space="preserve">Tomás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Ariztía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(ed.) </w:t>
      </w:r>
      <w:r>
        <w:rPr>
          <w:rFonts w:ascii="Arial" w:hAnsi="Arial" w:cs="Arial"/>
          <w:i/>
          <w:color w:val="000000"/>
          <w:sz w:val="20"/>
          <w:szCs w:val="20"/>
        </w:rPr>
        <w:t>Produciendo lo social: usos de las ciencias sociales en el Chile reciente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s-CL"/>
        </w:rPr>
        <w:t>Santiago, Chile: Ediciones Universidad Diego Portales.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Ramos, Claudio (2012c). “Conocimiento científico social, </w:t>
      </w:r>
      <w:proofErr w:type="spellStart"/>
      <w:r>
        <w:rPr>
          <w:rFonts w:ascii="Arial" w:hAnsi="Arial" w:cs="Arial"/>
          <w:sz w:val="20"/>
          <w:lang w:val="es-ES"/>
        </w:rPr>
        <w:t>gubernamentalidad</w:t>
      </w:r>
      <w:proofErr w:type="spellEnd"/>
      <w:r>
        <w:rPr>
          <w:rFonts w:ascii="Arial" w:hAnsi="Arial" w:cs="Arial"/>
          <w:sz w:val="20"/>
          <w:lang w:val="es-ES"/>
        </w:rPr>
        <w:t xml:space="preserve"> y gestión de empresas en Chile”. En José </w:t>
      </w:r>
      <w:proofErr w:type="spellStart"/>
      <w:r>
        <w:rPr>
          <w:rFonts w:ascii="Arial" w:hAnsi="Arial" w:cs="Arial"/>
          <w:sz w:val="20"/>
          <w:lang w:val="es-ES"/>
        </w:rPr>
        <w:t>Ossandón</w:t>
      </w:r>
      <w:proofErr w:type="spellEnd"/>
      <w:r>
        <w:rPr>
          <w:rFonts w:ascii="Arial" w:hAnsi="Arial" w:cs="Arial"/>
          <w:sz w:val="20"/>
          <w:lang w:val="es-ES"/>
        </w:rPr>
        <w:t xml:space="preserve"> &amp; Eugenio </w:t>
      </w:r>
      <w:proofErr w:type="spellStart"/>
      <w:r>
        <w:rPr>
          <w:rFonts w:ascii="Arial" w:hAnsi="Arial" w:cs="Arial"/>
          <w:sz w:val="20"/>
          <w:lang w:val="es-ES"/>
        </w:rPr>
        <w:t>Tironi</w:t>
      </w:r>
      <w:proofErr w:type="spellEnd"/>
      <w:r>
        <w:rPr>
          <w:rFonts w:ascii="Arial" w:hAnsi="Arial" w:cs="Arial"/>
          <w:sz w:val="20"/>
          <w:lang w:val="es-ES"/>
        </w:rPr>
        <w:t xml:space="preserve"> (eds.), </w:t>
      </w:r>
      <w:r>
        <w:rPr>
          <w:rFonts w:ascii="Arial" w:hAnsi="Arial" w:cs="Arial"/>
          <w:i/>
          <w:sz w:val="20"/>
          <w:lang w:val="es-CL" w:eastAsia="es-CL"/>
        </w:rPr>
        <w:t>Adaptación. La empresa chilena post-</w:t>
      </w:r>
      <w:proofErr w:type="spellStart"/>
      <w:r>
        <w:rPr>
          <w:rFonts w:ascii="Arial" w:hAnsi="Arial" w:cs="Arial"/>
          <w:i/>
          <w:sz w:val="20"/>
          <w:lang w:val="es-CL" w:eastAsia="es-CL"/>
        </w:rPr>
        <w:t>Friedmann</w:t>
      </w:r>
      <w:proofErr w:type="spellEnd"/>
      <w:r>
        <w:rPr>
          <w:rFonts w:ascii="Arial" w:hAnsi="Arial" w:cs="Arial"/>
          <w:sz w:val="20"/>
          <w:lang w:val="es-CL" w:eastAsia="es-CL"/>
        </w:rPr>
        <w:t xml:space="preserve">. Santiago, Chile: Editorial </w:t>
      </w:r>
      <w:proofErr w:type="spellStart"/>
      <w:r>
        <w:rPr>
          <w:rFonts w:ascii="Arial" w:hAnsi="Arial" w:cs="Arial"/>
          <w:sz w:val="20"/>
          <w:lang w:val="es-CL" w:eastAsia="es-CL"/>
        </w:rPr>
        <w:t>Uqbar</w:t>
      </w:r>
      <w:proofErr w:type="spellEnd"/>
      <w:r>
        <w:rPr>
          <w:rFonts w:ascii="Arial" w:hAnsi="Arial" w:cs="Arial"/>
          <w:sz w:val="20"/>
          <w:lang w:val="es-CL" w:eastAsia="es-CL"/>
        </w:rPr>
        <w:t>, Colección Estudios Sociales de la Empresa y los Mercados.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</w:rPr>
        <w:t xml:space="preserve">Rose, Nikolas (1988). </w:t>
      </w:r>
      <w:proofErr w:type="gramStart"/>
      <w:r>
        <w:rPr>
          <w:rFonts w:ascii="Arial" w:hAnsi="Arial" w:cs="Arial"/>
          <w:sz w:val="20"/>
        </w:rPr>
        <w:t>“Calculable Minds and Manageable Individuals”.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es-ES"/>
        </w:rPr>
        <w:t>History</w:t>
      </w:r>
      <w:proofErr w:type="spellEnd"/>
      <w:r>
        <w:rPr>
          <w:rFonts w:ascii="Arial" w:hAnsi="Arial" w:cs="Arial"/>
          <w:i/>
          <w:sz w:val="20"/>
          <w:lang w:val="es-ES"/>
        </w:rPr>
        <w:t xml:space="preserve"> of </w:t>
      </w:r>
      <w:proofErr w:type="spellStart"/>
      <w:r>
        <w:rPr>
          <w:rFonts w:ascii="Arial" w:hAnsi="Arial" w:cs="Arial"/>
          <w:i/>
          <w:sz w:val="20"/>
          <w:lang w:val="es-CL"/>
        </w:rPr>
        <w:t>the</w:t>
      </w:r>
      <w:proofErr w:type="spellEnd"/>
      <w:r>
        <w:rPr>
          <w:rFonts w:ascii="Arial" w:hAnsi="Arial" w:cs="Arial"/>
          <w:i/>
          <w:sz w:val="20"/>
          <w:lang w:val="es-CL"/>
        </w:rPr>
        <w:t xml:space="preserve"> Human </w:t>
      </w:r>
      <w:proofErr w:type="spellStart"/>
      <w:r>
        <w:rPr>
          <w:rFonts w:ascii="Arial" w:hAnsi="Arial" w:cs="Arial"/>
          <w:i/>
          <w:sz w:val="20"/>
          <w:lang w:val="es-CL"/>
        </w:rPr>
        <w:t>Sciences</w:t>
      </w:r>
      <w:proofErr w:type="spellEnd"/>
      <w:r>
        <w:rPr>
          <w:rFonts w:ascii="Arial" w:hAnsi="Arial" w:cs="Arial"/>
          <w:sz w:val="20"/>
          <w:lang w:val="es-CL"/>
        </w:rPr>
        <w:t xml:space="preserve">, 1(2): 179-200.    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C575EE" w:rsidRDefault="00C575EE" w:rsidP="00C575EE">
      <w:pPr>
        <w:pStyle w:val="Prrafodelista"/>
        <w:ind w:left="0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Silva, Patricio (2010). </w:t>
      </w:r>
      <w:r>
        <w:rPr>
          <w:rFonts w:ascii="Arial" w:hAnsi="Arial" w:cs="Arial"/>
          <w:i/>
          <w:sz w:val="20"/>
          <w:lang w:val="es-CL"/>
        </w:rPr>
        <w:t>En el nombre de la razón. Tecnócratas y política en Chile</w:t>
      </w:r>
      <w:r>
        <w:rPr>
          <w:rFonts w:ascii="Arial" w:hAnsi="Arial" w:cs="Arial"/>
          <w:sz w:val="20"/>
          <w:lang w:val="es-CL"/>
        </w:rPr>
        <w:t xml:space="preserve">. Santiago, Chile: Ediciones Universidad Diego Portales.  </w:t>
      </w:r>
    </w:p>
    <w:p w:rsidR="00C575EE" w:rsidRDefault="00C575EE" w:rsidP="00C575EE">
      <w:pPr>
        <w:jc w:val="both"/>
        <w:rPr>
          <w:rFonts w:ascii="Arial" w:hAnsi="Arial" w:cs="Arial"/>
          <w:sz w:val="20"/>
          <w:szCs w:val="20"/>
        </w:rPr>
      </w:pPr>
    </w:p>
    <w:p w:rsidR="00E62DCC" w:rsidRDefault="00E62DCC" w:rsidP="0002019C">
      <w:pPr>
        <w:jc w:val="both"/>
        <w:rPr>
          <w:rFonts w:ascii="Arial" w:hAnsi="Arial" w:cs="Arial"/>
          <w:sz w:val="22"/>
          <w:szCs w:val="22"/>
        </w:rPr>
      </w:pPr>
    </w:p>
    <w:p w:rsidR="008F2A59" w:rsidRDefault="008F2A59" w:rsidP="0002019C">
      <w:pPr>
        <w:jc w:val="both"/>
        <w:rPr>
          <w:rFonts w:ascii="Arial" w:hAnsi="Arial" w:cs="Arial"/>
          <w:sz w:val="22"/>
          <w:szCs w:val="22"/>
        </w:rPr>
      </w:pPr>
    </w:p>
    <w:p w:rsidR="008F2A59" w:rsidRPr="00E62DCC" w:rsidRDefault="008F2A59" w:rsidP="0002019C">
      <w:pPr>
        <w:jc w:val="both"/>
        <w:rPr>
          <w:rFonts w:ascii="Arial" w:hAnsi="Arial" w:cs="Arial"/>
          <w:sz w:val="22"/>
          <w:szCs w:val="22"/>
        </w:rPr>
      </w:pPr>
    </w:p>
    <w:p w:rsidR="00F820CC" w:rsidRDefault="00F820CC" w:rsidP="008F2A59">
      <w:pPr>
        <w:jc w:val="both"/>
        <w:rPr>
          <w:rFonts w:ascii="Arial" w:hAnsi="Arial" w:cs="Arial"/>
          <w:sz w:val="22"/>
          <w:szCs w:val="22"/>
        </w:rPr>
      </w:pPr>
    </w:p>
    <w:p w:rsidR="008F2A59" w:rsidRDefault="008F2A59" w:rsidP="008F2A59">
      <w:pPr>
        <w:jc w:val="both"/>
        <w:rPr>
          <w:rFonts w:ascii="Arial" w:hAnsi="Arial" w:cs="Arial"/>
          <w:sz w:val="22"/>
          <w:szCs w:val="22"/>
        </w:rPr>
      </w:pPr>
    </w:p>
    <w:p w:rsidR="008F2A59" w:rsidRPr="008F2A59" w:rsidRDefault="00E241B3" w:rsidP="008F2A5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8F2A59" w:rsidRPr="008F2A59">
        <w:rPr>
          <w:rFonts w:ascii="Arial" w:hAnsi="Arial" w:cs="Arial"/>
          <w:sz w:val="18"/>
          <w:szCs w:val="18"/>
        </w:rPr>
        <w:t>ulio, 2012</w:t>
      </w:r>
    </w:p>
    <w:sectPr w:rsidR="008F2A59" w:rsidRPr="008F2A59" w:rsidSect="002E0F8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C8" w:rsidRDefault="00EA7DC8">
      <w:r>
        <w:separator/>
      </w:r>
    </w:p>
  </w:endnote>
  <w:endnote w:type="continuationSeparator" w:id="0">
    <w:p w:rsidR="00EA7DC8" w:rsidRDefault="00EA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73" w:rsidRPr="00BE4DCB" w:rsidRDefault="002E0F8C" w:rsidP="00BE4DCB">
    <w:pPr>
      <w:pStyle w:val="Piedepgina"/>
      <w:jc w:val="center"/>
      <w:rPr>
        <w:rFonts w:ascii="Arial" w:hAnsi="Arial" w:cs="Arial"/>
        <w:sz w:val="18"/>
        <w:szCs w:val="18"/>
      </w:rPr>
    </w:pPr>
    <w:r w:rsidRPr="00BE4DCB">
      <w:rPr>
        <w:rStyle w:val="Nmerodepgina"/>
        <w:rFonts w:ascii="Arial" w:hAnsi="Arial" w:cs="Arial"/>
        <w:sz w:val="18"/>
        <w:szCs w:val="18"/>
      </w:rPr>
      <w:fldChar w:fldCharType="begin"/>
    </w:r>
    <w:r w:rsidR="00F0204A" w:rsidRPr="00BE4DC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BE4DCB">
      <w:rPr>
        <w:rStyle w:val="Nmerodepgina"/>
        <w:rFonts w:ascii="Arial" w:hAnsi="Arial" w:cs="Arial"/>
        <w:sz w:val="18"/>
        <w:szCs w:val="18"/>
      </w:rPr>
      <w:fldChar w:fldCharType="separate"/>
    </w:r>
    <w:r w:rsidR="00C575EE">
      <w:rPr>
        <w:rStyle w:val="Nmerodepgina"/>
        <w:rFonts w:ascii="Arial" w:hAnsi="Arial" w:cs="Arial"/>
        <w:noProof/>
        <w:sz w:val="18"/>
        <w:szCs w:val="18"/>
      </w:rPr>
      <w:t>1</w:t>
    </w:r>
    <w:r w:rsidRPr="00BE4DCB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C8" w:rsidRDefault="00EA7DC8">
      <w:r>
        <w:separator/>
      </w:r>
    </w:p>
  </w:footnote>
  <w:footnote w:type="continuationSeparator" w:id="0">
    <w:p w:rsidR="00EA7DC8" w:rsidRDefault="00EA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3A0"/>
    <w:multiLevelType w:val="hybridMultilevel"/>
    <w:tmpl w:val="264235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3001A"/>
    <w:multiLevelType w:val="hybridMultilevel"/>
    <w:tmpl w:val="BCCEB1CA"/>
    <w:lvl w:ilvl="0" w:tplc="72F0D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4"/>
    <w:rsid w:val="00016B81"/>
    <w:rsid w:val="0002019C"/>
    <w:rsid w:val="00157FED"/>
    <w:rsid w:val="001D7CD9"/>
    <w:rsid w:val="00233F7E"/>
    <w:rsid w:val="00262B61"/>
    <w:rsid w:val="002A29F7"/>
    <w:rsid w:val="002B5F47"/>
    <w:rsid w:val="002E0F8C"/>
    <w:rsid w:val="00413AE0"/>
    <w:rsid w:val="0042395E"/>
    <w:rsid w:val="004B7CA1"/>
    <w:rsid w:val="004F3C79"/>
    <w:rsid w:val="00575E8A"/>
    <w:rsid w:val="005A07B2"/>
    <w:rsid w:val="005B5B54"/>
    <w:rsid w:val="00653701"/>
    <w:rsid w:val="006B3E07"/>
    <w:rsid w:val="00800B64"/>
    <w:rsid w:val="00823CC3"/>
    <w:rsid w:val="00847FB4"/>
    <w:rsid w:val="008F2A59"/>
    <w:rsid w:val="00BB3DD2"/>
    <w:rsid w:val="00C575EE"/>
    <w:rsid w:val="00D85111"/>
    <w:rsid w:val="00E241B3"/>
    <w:rsid w:val="00E62DCC"/>
    <w:rsid w:val="00E707C0"/>
    <w:rsid w:val="00E97D59"/>
    <w:rsid w:val="00EA7DC8"/>
    <w:rsid w:val="00F0204A"/>
    <w:rsid w:val="00F81426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OK">
    <w:name w:val="Estilo 3 OK"/>
    <w:basedOn w:val="Normal"/>
    <w:link w:val="Estilo3OKCar"/>
    <w:autoRedefine/>
    <w:qFormat/>
    <w:rsid w:val="005B5B54"/>
    <w:pPr>
      <w:jc w:val="both"/>
    </w:pPr>
    <w:rPr>
      <w:rFonts w:ascii="Arial" w:hAnsi="Arial" w:cs="Arial"/>
      <w:bCs/>
    </w:rPr>
  </w:style>
  <w:style w:type="character" w:customStyle="1" w:styleId="Estilo3OKCar">
    <w:name w:val="Estilo 3 OK Car"/>
    <w:basedOn w:val="Fuentedeprrafopredeter"/>
    <w:link w:val="Estilo3OK"/>
    <w:rsid w:val="005B5B54"/>
    <w:rPr>
      <w:rFonts w:ascii="Arial" w:hAnsi="Arial" w:cs="Arial"/>
      <w:bCs/>
    </w:rPr>
  </w:style>
  <w:style w:type="paragraph" w:customStyle="1" w:styleId="CRZ">
    <w:name w:val="CRZ"/>
    <w:basedOn w:val="Normal"/>
    <w:rsid w:val="00800B64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8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82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20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820CC"/>
  </w:style>
  <w:style w:type="paragraph" w:styleId="Prrafodelista">
    <w:name w:val="List Paragraph"/>
    <w:basedOn w:val="Normal"/>
    <w:uiPriority w:val="34"/>
    <w:qFormat/>
    <w:rsid w:val="002B5F47"/>
    <w:pPr>
      <w:ind w:left="708"/>
    </w:pPr>
    <w:rPr>
      <w:rFonts w:ascii="Courier New" w:eastAsia="Times" w:hAnsi="Courier New"/>
      <w:szCs w:val="20"/>
      <w:lang w:val="en-US" w:eastAsia="en-US"/>
    </w:rPr>
  </w:style>
  <w:style w:type="paragraph" w:customStyle="1" w:styleId="arial">
    <w:name w:val="arial"/>
    <w:basedOn w:val="Normal"/>
    <w:rsid w:val="00F81426"/>
    <w:rPr>
      <w:rFonts w:ascii="Arial" w:hAnsi="Arial"/>
      <w:sz w:val="22"/>
      <w:szCs w:val="20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241B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847FB4"/>
    <w:rPr>
      <w:sz w:val="28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847FB4"/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B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OK">
    <w:name w:val="Estilo 3 OK"/>
    <w:basedOn w:val="Normal"/>
    <w:link w:val="Estilo3OKCar"/>
    <w:autoRedefine/>
    <w:qFormat/>
    <w:rsid w:val="005B5B54"/>
    <w:pPr>
      <w:jc w:val="both"/>
    </w:pPr>
    <w:rPr>
      <w:rFonts w:ascii="Arial" w:hAnsi="Arial" w:cs="Arial"/>
      <w:bCs/>
    </w:rPr>
  </w:style>
  <w:style w:type="character" w:customStyle="1" w:styleId="Estilo3OKCar">
    <w:name w:val="Estilo 3 OK Car"/>
    <w:basedOn w:val="Fuentedeprrafopredeter"/>
    <w:link w:val="Estilo3OK"/>
    <w:rsid w:val="005B5B54"/>
    <w:rPr>
      <w:rFonts w:ascii="Arial" w:hAnsi="Arial" w:cs="Arial"/>
      <w:bCs/>
    </w:rPr>
  </w:style>
  <w:style w:type="paragraph" w:customStyle="1" w:styleId="CRZ">
    <w:name w:val="CRZ"/>
    <w:basedOn w:val="Normal"/>
    <w:rsid w:val="00800B64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8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82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20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820CC"/>
  </w:style>
  <w:style w:type="paragraph" w:styleId="Prrafodelista">
    <w:name w:val="List Paragraph"/>
    <w:basedOn w:val="Normal"/>
    <w:uiPriority w:val="34"/>
    <w:qFormat/>
    <w:rsid w:val="002B5F47"/>
    <w:pPr>
      <w:ind w:left="708"/>
    </w:pPr>
    <w:rPr>
      <w:rFonts w:ascii="Courier New" w:eastAsia="Times" w:hAnsi="Courier New"/>
      <w:szCs w:val="20"/>
      <w:lang w:val="en-US" w:eastAsia="en-US"/>
    </w:rPr>
  </w:style>
  <w:style w:type="paragraph" w:customStyle="1" w:styleId="arial">
    <w:name w:val="arial"/>
    <w:basedOn w:val="Normal"/>
    <w:rsid w:val="00F81426"/>
    <w:rPr>
      <w:rFonts w:ascii="Arial" w:hAnsi="Arial"/>
      <w:sz w:val="22"/>
      <w:szCs w:val="20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241B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847FB4"/>
    <w:rPr>
      <w:sz w:val="28"/>
      <w:szCs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847FB4"/>
    <w:rPr>
      <w:rFonts w:ascii="Times New Roman" w:eastAsia="Times New Roman" w:hAnsi="Times New Roman" w:cs="Times New Roman"/>
      <w:sz w:val="28"/>
      <w:szCs w:val="20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B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amos@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alberto hurtado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RAMOS ZINCKE</dc:creator>
  <cp:lastModifiedBy>ARELIS ROZO ALVAREZ</cp:lastModifiedBy>
  <cp:revision>4</cp:revision>
  <cp:lastPrinted>2012-07-11T21:29:00Z</cp:lastPrinted>
  <dcterms:created xsi:type="dcterms:W3CDTF">2012-07-11T18:43:00Z</dcterms:created>
  <dcterms:modified xsi:type="dcterms:W3CDTF">2012-07-13T23:02:00Z</dcterms:modified>
</cp:coreProperties>
</file>